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A13E" w14:textId="77777777" w:rsidR="00DA462C" w:rsidRPr="00DA462C" w:rsidRDefault="00DA462C" w:rsidP="00DA462C">
      <w:pPr>
        <w:shd w:val="clear" w:color="auto" w:fill="FFFFFF"/>
        <w:spacing w:after="120" w:line="524" w:lineRule="atLeast"/>
        <w:outlineLvl w:val="1"/>
        <w:rPr>
          <w:rFonts w:ascii="Times New Roman" w:eastAsia="Times New Roman" w:hAnsi="Times New Roman" w:cs="Times New Roman"/>
          <w:b/>
          <w:bCs/>
          <w:color w:val="3E3D40"/>
          <w:sz w:val="40"/>
          <w:szCs w:val="40"/>
          <w:lang w:eastAsia="es-ES"/>
        </w:rPr>
      </w:pPr>
      <w:r w:rsidRPr="00DA462C">
        <w:rPr>
          <w:rFonts w:ascii="Times New Roman" w:eastAsia="Times New Roman" w:hAnsi="Times New Roman" w:cs="Times New Roman"/>
          <w:b/>
          <w:bCs/>
          <w:color w:val="3E3D40"/>
          <w:sz w:val="40"/>
          <w:szCs w:val="40"/>
          <w:lang w:eastAsia="es-ES"/>
        </w:rPr>
        <w:t>Paul Daniel</w:t>
      </w:r>
    </w:p>
    <w:p w14:paraId="6559D7DC" w14:textId="77777777" w:rsidR="00DA462C" w:rsidRPr="00DA462C" w:rsidRDefault="00DA462C" w:rsidP="00DA462C">
      <w:pPr>
        <w:shd w:val="clear" w:color="auto" w:fill="FFFFFF" w:themeFill="background1"/>
        <w:spacing w:line="240" w:lineRule="auto"/>
        <w:rPr>
          <w:rFonts w:ascii="Arial" w:eastAsia="Times New Roman" w:hAnsi="Arial" w:cs="Arial"/>
          <w:b/>
          <w:bCs/>
          <w:color w:val="3E3D40"/>
          <w:sz w:val="23"/>
          <w:szCs w:val="23"/>
          <w:lang w:eastAsia="es-ES"/>
        </w:rPr>
      </w:pPr>
      <w:r w:rsidRPr="00DA462C">
        <w:rPr>
          <w:rFonts w:ascii="Arial" w:eastAsia="Times New Roman" w:hAnsi="Arial" w:cs="Arial"/>
          <w:b/>
          <w:bCs/>
          <w:color w:val="3E3D40"/>
          <w:sz w:val="23"/>
          <w:szCs w:val="23"/>
          <w:lang w:eastAsia="es-ES"/>
        </w:rPr>
        <w:t>Director titular</w:t>
      </w:r>
    </w:p>
    <w:p w14:paraId="181252FE" w14:textId="77777777" w:rsid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p>
    <w:p w14:paraId="42BB0051" w14:textId="34897320" w:rsidR="00DA462C" w:rsidRP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É o director titular e artístico da RFG dende 2013 e tamén se encarga da dirección musical da Orquestra Nacional de Burdeos. Entre 2009 e 2013 foi o principal director e conselleiro artístico da West Australian Symphony Orchestra de Perth e foi director musical da English National Opera e da Ópera de North, ademais de principal director da Opera Factory. Foi director invitado das máis destacadas orquestras e compañías de ópera por todo o mundo. Dirixiu no Royal Opera House Convent Garden, en La Monnaie en Bruxelas, na Ópera Estatal de Baviera en Múnic, na Ópera Semper de Dresde ou no Metropolitan Opera de Nova York.</w:t>
      </w:r>
    </w:p>
    <w:p w14:paraId="1B0804C3" w14:textId="77777777" w:rsidR="00DA462C" w:rsidRP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 </w:t>
      </w:r>
    </w:p>
    <w:p w14:paraId="1DAB5E72" w14:textId="77777777" w:rsidR="00DA462C" w:rsidRPr="00DA462C" w:rsidRDefault="00DA462C" w:rsidP="00DA462C">
      <w:pPr>
        <w:shd w:val="clear" w:color="auto" w:fill="FFFFFF" w:themeFill="background1"/>
        <w:spacing w:after="0"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Recentes e futuros compromisos operísticos inclúen </w:t>
      </w:r>
      <w:r w:rsidRPr="00DA462C">
        <w:rPr>
          <w:rFonts w:ascii="Arial" w:eastAsia="Times New Roman" w:hAnsi="Arial" w:cs="Arial"/>
          <w:i/>
          <w:iCs/>
          <w:color w:val="3E3D40"/>
          <w:sz w:val="19"/>
          <w:szCs w:val="19"/>
          <w:bdr w:val="none" w:sz="0" w:space="0" w:color="auto" w:frame="1"/>
          <w:lang w:eastAsia="es-ES"/>
        </w:rPr>
        <w:t>Lucrecia Borgia </w:t>
      </w:r>
      <w:r w:rsidRPr="00DA462C">
        <w:rPr>
          <w:rFonts w:ascii="Arial" w:eastAsia="Times New Roman" w:hAnsi="Arial" w:cs="Arial"/>
          <w:color w:val="3E3D40"/>
          <w:sz w:val="19"/>
          <w:szCs w:val="19"/>
          <w:lang w:eastAsia="es-ES"/>
        </w:rPr>
        <w:t>e </w:t>
      </w:r>
      <w:r w:rsidRPr="00DA462C">
        <w:rPr>
          <w:rFonts w:ascii="Arial" w:eastAsia="Times New Roman" w:hAnsi="Arial" w:cs="Arial"/>
          <w:i/>
          <w:iCs/>
          <w:color w:val="3E3D40"/>
          <w:sz w:val="19"/>
          <w:szCs w:val="19"/>
          <w:bdr w:val="none" w:sz="0" w:space="0" w:color="auto" w:frame="1"/>
          <w:lang w:eastAsia="es-ES"/>
        </w:rPr>
        <w:t>As vodas de Fígaro </w:t>
      </w:r>
      <w:r w:rsidRPr="00DA462C">
        <w:rPr>
          <w:rFonts w:ascii="Arial" w:eastAsia="Times New Roman" w:hAnsi="Arial" w:cs="Arial"/>
          <w:color w:val="3E3D40"/>
          <w:sz w:val="19"/>
          <w:szCs w:val="19"/>
          <w:lang w:eastAsia="es-ES"/>
        </w:rPr>
        <w:t>coa English National Opera, un novo encargo de Judith Weir para o Festival de Bregenz e o Covent Garden, </w:t>
      </w:r>
      <w:r w:rsidRPr="00DA462C">
        <w:rPr>
          <w:rFonts w:ascii="Arial" w:eastAsia="Times New Roman" w:hAnsi="Arial" w:cs="Arial"/>
          <w:i/>
          <w:iCs/>
          <w:color w:val="3E3D40"/>
          <w:sz w:val="19"/>
          <w:szCs w:val="19"/>
          <w:bdr w:val="none" w:sz="0" w:space="0" w:color="auto" w:frame="1"/>
          <w:lang w:eastAsia="es-ES"/>
        </w:rPr>
        <w:t>Gloriana</w:t>
      </w:r>
      <w:r w:rsidRPr="00DA462C">
        <w:rPr>
          <w:rFonts w:ascii="Arial" w:eastAsia="Times New Roman" w:hAnsi="Arial" w:cs="Arial"/>
          <w:color w:val="3E3D40"/>
          <w:sz w:val="19"/>
          <w:szCs w:val="19"/>
          <w:lang w:eastAsia="es-ES"/>
        </w:rPr>
        <w:t> no Covent Garden, </w:t>
      </w:r>
      <w:r w:rsidRPr="00DA462C">
        <w:rPr>
          <w:rFonts w:ascii="Arial" w:eastAsia="Times New Roman" w:hAnsi="Arial" w:cs="Arial"/>
          <w:i/>
          <w:iCs/>
          <w:color w:val="3E3D40"/>
          <w:sz w:val="19"/>
          <w:szCs w:val="19"/>
          <w:bdr w:val="none" w:sz="0" w:space="0" w:color="auto" w:frame="1"/>
          <w:lang w:eastAsia="es-ES"/>
        </w:rPr>
        <w:t>Lulú</w:t>
      </w:r>
      <w:r w:rsidRPr="00DA462C">
        <w:rPr>
          <w:rFonts w:ascii="Arial" w:eastAsia="Times New Roman" w:hAnsi="Arial" w:cs="Arial"/>
          <w:color w:val="3E3D40"/>
          <w:sz w:val="19"/>
          <w:szCs w:val="19"/>
          <w:lang w:eastAsia="es-ES"/>
        </w:rPr>
        <w:t> en La Monnaie, un dobre cartel con </w:t>
      </w:r>
      <w:r w:rsidRPr="00DA462C">
        <w:rPr>
          <w:rFonts w:ascii="Arial" w:eastAsia="Times New Roman" w:hAnsi="Arial" w:cs="Arial"/>
          <w:i/>
          <w:iCs/>
          <w:color w:val="3E3D40"/>
          <w:sz w:val="19"/>
          <w:szCs w:val="19"/>
          <w:bdr w:val="none" w:sz="0" w:space="0" w:color="auto" w:frame="1"/>
          <w:lang w:eastAsia="es-ES"/>
        </w:rPr>
        <w:t>L’Enfant et les Sortilleges </w:t>
      </w:r>
      <w:r w:rsidRPr="00DA462C">
        <w:rPr>
          <w:rFonts w:ascii="Arial" w:eastAsia="Times New Roman" w:hAnsi="Arial" w:cs="Arial"/>
          <w:color w:val="3E3D40"/>
          <w:sz w:val="19"/>
          <w:szCs w:val="19"/>
          <w:lang w:eastAsia="es-ES"/>
        </w:rPr>
        <w:t>e </w:t>
      </w:r>
      <w:r w:rsidRPr="00DA462C">
        <w:rPr>
          <w:rFonts w:ascii="Arial" w:eastAsia="Times New Roman" w:hAnsi="Arial" w:cs="Arial"/>
          <w:i/>
          <w:iCs/>
          <w:color w:val="3E3D40"/>
          <w:sz w:val="19"/>
          <w:szCs w:val="19"/>
          <w:bdr w:val="none" w:sz="0" w:space="0" w:color="auto" w:frame="1"/>
          <w:lang w:eastAsia="es-ES"/>
        </w:rPr>
        <w:t>Der Zwerg </w:t>
      </w:r>
      <w:r w:rsidRPr="00DA462C">
        <w:rPr>
          <w:rFonts w:ascii="Arial" w:eastAsia="Times New Roman" w:hAnsi="Arial" w:cs="Arial"/>
          <w:color w:val="3E3D40"/>
          <w:sz w:val="19"/>
          <w:szCs w:val="19"/>
          <w:lang w:eastAsia="es-ES"/>
        </w:rPr>
        <w:t>coa Ópera Nacional de París,</w:t>
      </w:r>
      <w:r w:rsidRPr="00DA462C">
        <w:rPr>
          <w:rFonts w:ascii="Arial" w:eastAsia="Times New Roman" w:hAnsi="Arial" w:cs="Arial"/>
          <w:i/>
          <w:iCs/>
          <w:color w:val="3E3D40"/>
          <w:sz w:val="19"/>
          <w:szCs w:val="19"/>
          <w:bdr w:val="none" w:sz="0" w:space="0" w:color="auto" w:frame="1"/>
          <w:lang w:eastAsia="es-ES"/>
        </w:rPr>
        <w:t> Os troianos </w:t>
      </w:r>
      <w:r w:rsidRPr="00DA462C">
        <w:rPr>
          <w:rFonts w:ascii="Arial" w:eastAsia="Times New Roman" w:hAnsi="Arial" w:cs="Arial"/>
          <w:color w:val="3E3D40"/>
          <w:sz w:val="19"/>
          <w:szCs w:val="19"/>
          <w:lang w:eastAsia="es-ES"/>
        </w:rPr>
        <w:t>coa Ópera de Berlín, </w:t>
      </w:r>
      <w:r w:rsidRPr="00DA462C">
        <w:rPr>
          <w:rFonts w:ascii="Arial" w:eastAsia="Times New Roman" w:hAnsi="Arial" w:cs="Arial"/>
          <w:i/>
          <w:iCs/>
          <w:color w:val="3E3D40"/>
          <w:sz w:val="19"/>
          <w:szCs w:val="19"/>
          <w:bdr w:val="none" w:sz="0" w:space="0" w:color="auto" w:frame="1"/>
          <w:lang w:eastAsia="es-ES"/>
        </w:rPr>
        <w:t>Hansel e Gretel</w:t>
      </w:r>
      <w:r w:rsidRPr="00DA462C">
        <w:rPr>
          <w:rFonts w:ascii="Arial" w:eastAsia="Times New Roman" w:hAnsi="Arial" w:cs="Arial"/>
          <w:color w:val="3E3D40"/>
          <w:sz w:val="19"/>
          <w:szCs w:val="19"/>
          <w:lang w:eastAsia="es-ES"/>
        </w:rPr>
        <w:t> en Zúric,</w:t>
      </w:r>
      <w:r w:rsidRPr="00DA462C">
        <w:rPr>
          <w:rFonts w:ascii="Arial" w:eastAsia="Times New Roman" w:hAnsi="Arial" w:cs="Arial"/>
          <w:i/>
          <w:iCs/>
          <w:color w:val="3E3D40"/>
          <w:sz w:val="19"/>
          <w:szCs w:val="19"/>
          <w:bdr w:val="none" w:sz="0" w:space="0" w:color="auto" w:frame="1"/>
          <w:lang w:eastAsia="es-ES"/>
        </w:rPr>
        <w:t> A Village Romeo and Juliet </w:t>
      </w:r>
      <w:r w:rsidRPr="00DA462C">
        <w:rPr>
          <w:rFonts w:ascii="Arial" w:eastAsia="Times New Roman" w:hAnsi="Arial" w:cs="Arial"/>
          <w:color w:val="3E3D40"/>
          <w:sz w:val="19"/>
          <w:szCs w:val="19"/>
          <w:lang w:eastAsia="es-ES"/>
        </w:rPr>
        <w:t>coa Ópera de Frankfurt, </w:t>
      </w:r>
      <w:r w:rsidRPr="00DA462C">
        <w:rPr>
          <w:rFonts w:ascii="Arial" w:eastAsia="Times New Roman" w:hAnsi="Arial" w:cs="Arial"/>
          <w:i/>
          <w:iCs/>
          <w:color w:val="3E3D40"/>
          <w:sz w:val="19"/>
          <w:szCs w:val="19"/>
          <w:bdr w:val="none" w:sz="0" w:space="0" w:color="auto" w:frame="1"/>
          <w:lang w:eastAsia="es-ES"/>
        </w:rPr>
        <w:t>Werther</w:t>
      </w:r>
      <w:r w:rsidRPr="00DA462C">
        <w:rPr>
          <w:rFonts w:ascii="Arial" w:eastAsia="Times New Roman" w:hAnsi="Arial" w:cs="Arial"/>
          <w:color w:val="3E3D40"/>
          <w:sz w:val="19"/>
          <w:szCs w:val="19"/>
          <w:lang w:eastAsia="es-ES"/>
        </w:rPr>
        <w:t> no Novo Teatro Nacional de Tokio, a estrea mundial de </w:t>
      </w:r>
      <w:r w:rsidRPr="00DA462C">
        <w:rPr>
          <w:rFonts w:ascii="Arial" w:eastAsia="Times New Roman" w:hAnsi="Arial" w:cs="Arial"/>
          <w:i/>
          <w:iCs/>
          <w:color w:val="3E3D40"/>
          <w:sz w:val="19"/>
          <w:szCs w:val="19"/>
          <w:bdr w:val="none" w:sz="0" w:space="0" w:color="auto" w:frame="1"/>
          <w:lang w:eastAsia="es-ES"/>
        </w:rPr>
        <w:t>The Thirteenth Child</w:t>
      </w:r>
      <w:r w:rsidRPr="00DA462C">
        <w:rPr>
          <w:rFonts w:ascii="Arial" w:eastAsia="Times New Roman" w:hAnsi="Arial" w:cs="Arial"/>
          <w:color w:val="3E3D40"/>
          <w:sz w:val="19"/>
          <w:szCs w:val="19"/>
          <w:lang w:eastAsia="es-ES"/>
        </w:rPr>
        <w:t> de Ruders en Santa Fe; e </w:t>
      </w:r>
      <w:r w:rsidRPr="00DA462C">
        <w:rPr>
          <w:rFonts w:ascii="Arial" w:eastAsia="Times New Roman" w:hAnsi="Arial" w:cs="Arial"/>
          <w:i/>
          <w:iCs/>
          <w:color w:val="3E3D40"/>
          <w:sz w:val="19"/>
          <w:szCs w:val="19"/>
          <w:bdr w:val="none" w:sz="0" w:space="0" w:color="auto" w:frame="1"/>
          <w:lang w:eastAsia="es-ES"/>
        </w:rPr>
        <w:t>Elektra</w:t>
      </w:r>
      <w:r w:rsidRPr="00DA462C">
        <w:rPr>
          <w:rFonts w:ascii="Arial" w:eastAsia="Times New Roman" w:hAnsi="Arial" w:cs="Arial"/>
          <w:color w:val="3E3D40"/>
          <w:sz w:val="19"/>
          <w:szCs w:val="19"/>
          <w:lang w:eastAsia="es-ES"/>
        </w:rPr>
        <w:t>, </w:t>
      </w:r>
      <w:r w:rsidRPr="00DA462C">
        <w:rPr>
          <w:rFonts w:ascii="Arial" w:eastAsia="Times New Roman" w:hAnsi="Arial" w:cs="Arial"/>
          <w:i/>
          <w:iCs/>
          <w:color w:val="3E3D40"/>
          <w:sz w:val="19"/>
          <w:szCs w:val="19"/>
          <w:bdr w:val="none" w:sz="0" w:space="0" w:color="auto" w:frame="1"/>
          <w:lang w:eastAsia="es-ES"/>
        </w:rPr>
        <w:t>Tristán e Isolda</w:t>
      </w:r>
      <w:r w:rsidRPr="00DA462C">
        <w:rPr>
          <w:rFonts w:ascii="Arial" w:eastAsia="Times New Roman" w:hAnsi="Arial" w:cs="Arial"/>
          <w:color w:val="3E3D40"/>
          <w:sz w:val="19"/>
          <w:szCs w:val="19"/>
          <w:lang w:eastAsia="es-ES"/>
        </w:rPr>
        <w:t> e </w:t>
      </w:r>
      <w:r w:rsidRPr="00DA462C">
        <w:rPr>
          <w:rFonts w:ascii="Arial" w:eastAsia="Times New Roman" w:hAnsi="Arial" w:cs="Arial"/>
          <w:i/>
          <w:iCs/>
          <w:color w:val="3E3D40"/>
          <w:sz w:val="19"/>
          <w:szCs w:val="19"/>
          <w:bdr w:val="none" w:sz="0" w:space="0" w:color="auto" w:frame="1"/>
          <w:lang w:eastAsia="es-ES"/>
        </w:rPr>
        <w:t>A valquiria</w:t>
      </w:r>
      <w:r w:rsidRPr="00DA462C">
        <w:rPr>
          <w:rFonts w:ascii="Arial" w:eastAsia="Times New Roman" w:hAnsi="Arial" w:cs="Arial"/>
          <w:color w:val="3E3D40"/>
          <w:sz w:val="19"/>
          <w:szCs w:val="19"/>
          <w:lang w:eastAsia="es-ES"/>
        </w:rPr>
        <w:t> en Burdeos.</w:t>
      </w:r>
    </w:p>
    <w:p w14:paraId="5252F854" w14:textId="77777777" w:rsidR="00DA462C" w:rsidRP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 </w:t>
      </w:r>
    </w:p>
    <w:p w14:paraId="540DA234" w14:textId="77777777" w:rsidR="00DA462C" w:rsidRP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Ademais dos seus concertos coa Orquestra Nacional de Burdeos e a Real Filharmonía de Galicia, dirixirá a Orquestra Sinfónica da Radio de Baviera, Filharmónica da BBC, Royal Philharmonic, Sinfónica de Hamburgo, Orquestra da Radio de Múnic, Australian National Academy of Music, a Xove Orquestra Nacional de Gran Bretaña e participará no Festival de Bregenz (Austria).</w:t>
      </w:r>
    </w:p>
    <w:p w14:paraId="2A14901D" w14:textId="77777777" w:rsidR="00DA462C" w:rsidRPr="00DA462C" w:rsidRDefault="00DA462C" w:rsidP="00DA462C">
      <w:pPr>
        <w:shd w:val="clear" w:color="auto" w:fill="FFFFFF" w:themeFill="background1"/>
        <w:spacing w:after="24"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 </w:t>
      </w:r>
    </w:p>
    <w:p w14:paraId="71E97F99" w14:textId="77777777" w:rsidR="00DA462C" w:rsidRPr="00DA462C" w:rsidRDefault="00DA462C" w:rsidP="00DA462C">
      <w:pPr>
        <w:shd w:val="clear" w:color="auto" w:fill="FFFFFF" w:themeFill="background1"/>
        <w:spacing w:line="326" w:lineRule="atLeast"/>
        <w:rPr>
          <w:rFonts w:ascii="Arial" w:eastAsia="Times New Roman" w:hAnsi="Arial" w:cs="Arial"/>
          <w:color w:val="3E3D40"/>
          <w:sz w:val="19"/>
          <w:szCs w:val="19"/>
          <w:lang w:eastAsia="es-ES"/>
        </w:rPr>
      </w:pPr>
      <w:r w:rsidRPr="00DA462C">
        <w:rPr>
          <w:rFonts w:ascii="Arial" w:eastAsia="Times New Roman" w:hAnsi="Arial" w:cs="Arial"/>
          <w:color w:val="3E3D40"/>
          <w:sz w:val="19"/>
          <w:szCs w:val="19"/>
          <w:lang w:eastAsia="es-ES"/>
        </w:rPr>
        <w:t>Entre as súas numerosas gravacións destaca o éxito alcanzado polo CD coa </w:t>
      </w:r>
      <w:r w:rsidRPr="00DA462C">
        <w:rPr>
          <w:rFonts w:ascii="Arial" w:eastAsia="Times New Roman" w:hAnsi="Arial" w:cs="Arial"/>
          <w:i/>
          <w:iCs/>
          <w:color w:val="3E3D40"/>
          <w:sz w:val="19"/>
          <w:szCs w:val="19"/>
          <w:bdr w:val="none" w:sz="0" w:space="0" w:color="auto" w:frame="1"/>
          <w:lang w:eastAsia="es-ES"/>
        </w:rPr>
        <w:t>Sinfonía núm. 3</w:t>
      </w:r>
      <w:r w:rsidRPr="00DA462C">
        <w:rPr>
          <w:rFonts w:ascii="Arial" w:eastAsia="Times New Roman" w:hAnsi="Arial" w:cs="Arial"/>
          <w:color w:val="3E3D40"/>
          <w:sz w:val="19"/>
          <w:szCs w:val="19"/>
          <w:lang w:eastAsia="es-ES"/>
        </w:rPr>
        <w:t> de Elgar para Naxos e o DVD da gravación de </w:t>
      </w:r>
      <w:r w:rsidRPr="00DA462C">
        <w:rPr>
          <w:rFonts w:ascii="Arial" w:eastAsia="Times New Roman" w:hAnsi="Arial" w:cs="Arial"/>
          <w:i/>
          <w:iCs/>
          <w:color w:val="3E3D40"/>
          <w:sz w:val="19"/>
          <w:szCs w:val="19"/>
          <w:bdr w:val="none" w:sz="0" w:space="0" w:color="auto" w:frame="1"/>
          <w:lang w:eastAsia="es-ES"/>
        </w:rPr>
        <w:t>Lulú</w:t>
      </w:r>
      <w:r w:rsidRPr="00DA462C">
        <w:rPr>
          <w:rFonts w:ascii="Arial" w:eastAsia="Times New Roman" w:hAnsi="Arial" w:cs="Arial"/>
          <w:color w:val="3E3D40"/>
          <w:sz w:val="19"/>
          <w:szCs w:val="19"/>
          <w:lang w:eastAsia="es-ES"/>
        </w:rPr>
        <w:t> en La Monnaie coa soprano Barbara Hannigan. Coa Orquestra Nacional de Burdeos gravou obras de Wagner, Mahler e Chaikovski. En 1998 recibiu un Premio Olivier pola súa dedicación á ópera e nos New Year’s Honours de 2000 foi condecorado coa Cruz do Imperio Británico.</w:t>
      </w:r>
    </w:p>
    <w:p w14:paraId="1B2B6DC6" w14:textId="77777777" w:rsidR="00C75EEC" w:rsidRDefault="00C75EEC" w:rsidP="00DA462C">
      <w:pPr>
        <w:shd w:val="clear" w:color="auto" w:fill="FFFFFF" w:themeFill="background1"/>
      </w:pPr>
    </w:p>
    <w:sectPr w:rsidR="00C7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F9"/>
    <w:rsid w:val="001E7FF9"/>
    <w:rsid w:val="00C75EEC"/>
    <w:rsid w:val="00DA4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5F49"/>
  <w15:chartTrackingRefBased/>
  <w15:docId w15:val="{C1CB7902-3D7D-42F1-9DC9-366DF65D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A462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462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A46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A4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2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8352">
          <w:marLeft w:val="0"/>
          <w:marRight w:val="0"/>
          <w:marTop w:val="0"/>
          <w:marBottom w:val="0"/>
          <w:divBdr>
            <w:top w:val="none" w:sz="0" w:space="0" w:color="auto"/>
            <w:left w:val="none" w:sz="0" w:space="0" w:color="auto"/>
            <w:bottom w:val="none" w:sz="0" w:space="0" w:color="auto"/>
            <w:right w:val="none" w:sz="0" w:space="0" w:color="auto"/>
          </w:divBdr>
          <w:divsChild>
            <w:div w:id="501243086">
              <w:marLeft w:val="0"/>
              <w:marRight w:val="0"/>
              <w:marTop w:val="0"/>
              <w:marBottom w:val="0"/>
              <w:divBdr>
                <w:top w:val="none" w:sz="0" w:space="0" w:color="auto"/>
                <w:left w:val="none" w:sz="0" w:space="0" w:color="auto"/>
                <w:bottom w:val="none" w:sz="0" w:space="0" w:color="auto"/>
                <w:right w:val="none" w:sz="0" w:space="0" w:color="auto"/>
              </w:divBdr>
              <w:divsChild>
                <w:div w:id="1969623239">
                  <w:marLeft w:val="0"/>
                  <w:marRight w:val="0"/>
                  <w:marTop w:val="0"/>
                  <w:marBottom w:val="0"/>
                  <w:divBdr>
                    <w:top w:val="none" w:sz="0" w:space="0" w:color="auto"/>
                    <w:left w:val="none" w:sz="0" w:space="0" w:color="auto"/>
                    <w:bottom w:val="none" w:sz="0" w:space="0" w:color="auto"/>
                    <w:right w:val="none" w:sz="0" w:space="0" w:color="auto"/>
                  </w:divBdr>
                  <w:divsChild>
                    <w:div w:id="2102404976">
                      <w:marLeft w:val="0"/>
                      <w:marRight w:val="0"/>
                      <w:marTop w:val="0"/>
                      <w:marBottom w:val="0"/>
                      <w:divBdr>
                        <w:top w:val="none" w:sz="0" w:space="0" w:color="auto"/>
                        <w:left w:val="none" w:sz="0" w:space="0" w:color="auto"/>
                        <w:bottom w:val="none" w:sz="0" w:space="0" w:color="auto"/>
                        <w:right w:val="none" w:sz="0" w:space="0" w:color="auto"/>
                      </w:divBdr>
                      <w:divsChild>
                        <w:div w:id="1404647254">
                          <w:marLeft w:val="0"/>
                          <w:marRight w:val="0"/>
                          <w:marTop w:val="0"/>
                          <w:marBottom w:val="0"/>
                          <w:divBdr>
                            <w:top w:val="none" w:sz="0" w:space="0" w:color="auto"/>
                            <w:left w:val="none" w:sz="0" w:space="0" w:color="auto"/>
                            <w:bottom w:val="none" w:sz="0" w:space="0" w:color="auto"/>
                            <w:right w:val="none" w:sz="0" w:space="0" w:color="auto"/>
                          </w:divBdr>
                          <w:divsChild>
                            <w:div w:id="987903363">
                              <w:marLeft w:val="315"/>
                              <w:marRight w:val="0"/>
                              <w:marTop w:val="0"/>
                              <w:marBottom w:val="240"/>
                              <w:divBdr>
                                <w:top w:val="none" w:sz="0" w:space="0" w:color="auto"/>
                                <w:left w:val="none" w:sz="0" w:space="0" w:color="auto"/>
                                <w:bottom w:val="none" w:sz="0" w:space="0" w:color="auto"/>
                                <w:right w:val="none" w:sz="0" w:space="0" w:color="auto"/>
                              </w:divBdr>
                              <w:divsChild>
                                <w:div w:id="819883220">
                                  <w:marLeft w:val="0"/>
                                  <w:marRight w:val="0"/>
                                  <w:marTop w:val="0"/>
                                  <w:marBottom w:val="0"/>
                                  <w:divBdr>
                                    <w:top w:val="none" w:sz="0" w:space="0" w:color="auto"/>
                                    <w:left w:val="none" w:sz="0" w:space="0" w:color="auto"/>
                                    <w:bottom w:val="none" w:sz="0" w:space="0" w:color="auto"/>
                                    <w:right w:val="none" w:sz="0" w:space="0" w:color="auto"/>
                                  </w:divBdr>
                                  <w:divsChild>
                                    <w:div w:id="14127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582">
                              <w:marLeft w:val="0"/>
                              <w:marRight w:val="0"/>
                              <w:marTop w:val="0"/>
                              <w:marBottom w:val="288"/>
                              <w:divBdr>
                                <w:top w:val="none" w:sz="0" w:space="0" w:color="auto"/>
                                <w:left w:val="none" w:sz="0" w:space="0" w:color="auto"/>
                                <w:bottom w:val="none" w:sz="0" w:space="0" w:color="auto"/>
                                <w:right w:val="none" w:sz="0" w:space="0" w:color="auto"/>
                              </w:divBdr>
                              <w:divsChild>
                                <w:div w:id="694620015">
                                  <w:marLeft w:val="0"/>
                                  <w:marRight w:val="0"/>
                                  <w:marTop w:val="0"/>
                                  <w:marBottom w:val="0"/>
                                  <w:divBdr>
                                    <w:top w:val="none" w:sz="0" w:space="0" w:color="auto"/>
                                    <w:left w:val="none" w:sz="0" w:space="0" w:color="auto"/>
                                    <w:bottom w:val="none" w:sz="0" w:space="0" w:color="auto"/>
                                    <w:right w:val="none" w:sz="0" w:space="0" w:color="auto"/>
                                  </w:divBdr>
                                  <w:divsChild>
                                    <w:div w:id="121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1094">
                              <w:marLeft w:val="0"/>
                              <w:marRight w:val="0"/>
                              <w:marTop w:val="0"/>
                              <w:marBottom w:val="240"/>
                              <w:divBdr>
                                <w:top w:val="none" w:sz="0" w:space="0" w:color="auto"/>
                                <w:left w:val="none" w:sz="0" w:space="0" w:color="auto"/>
                                <w:bottom w:val="none" w:sz="0" w:space="0" w:color="auto"/>
                                <w:right w:val="none" w:sz="0" w:space="0" w:color="auto"/>
                              </w:divBdr>
                              <w:divsChild>
                                <w:div w:id="498079614">
                                  <w:marLeft w:val="0"/>
                                  <w:marRight w:val="0"/>
                                  <w:marTop w:val="0"/>
                                  <w:marBottom w:val="0"/>
                                  <w:divBdr>
                                    <w:top w:val="none" w:sz="0" w:space="0" w:color="auto"/>
                                    <w:left w:val="none" w:sz="0" w:space="0" w:color="auto"/>
                                    <w:bottom w:val="none" w:sz="0" w:space="0" w:color="auto"/>
                                    <w:right w:val="none" w:sz="0" w:space="0" w:color="auto"/>
                                  </w:divBdr>
                                  <w:divsChild>
                                    <w:div w:id="17664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 Vía Láctea</dc:creator>
  <cp:keywords/>
  <dc:description/>
  <cp:lastModifiedBy>Azucena / Vía Láctea</cp:lastModifiedBy>
  <cp:revision>2</cp:revision>
  <dcterms:created xsi:type="dcterms:W3CDTF">2020-10-19T11:15:00Z</dcterms:created>
  <dcterms:modified xsi:type="dcterms:W3CDTF">2020-10-19T11:17:00Z</dcterms:modified>
</cp:coreProperties>
</file>